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30" w:rsidRPr="004A7A30" w:rsidRDefault="004A7A30" w:rsidP="004A7A30">
      <w:pPr>
        <w:spacing w:after="0" w:line="288" w:lineRule="auto"/>
        <w:jc w:val="center"/>
        <w:textAlignment w:val="baseline"/>
        <w:outlineLvl w:val="2"/>
        <w:rPr>
          <w:rFonts w:ascii="Times New Roman" w:hAnsi="Times New Roman" w:cs="Times New Roman"/>
          <w:color w:val="000000"/>
          <w:sz w:val="28"/>
          <w:szCs w:val="28"/>
          <w:shd w:val="clear" w:color="auto" w:fill="FFFFFF"/>
        </w:rPr>
      </w:pPr>
      <w:r w:rsidRPr="004A7A30">
        <w:rPr>
          <w:rFonts w:ascii="Times New Roman" w:hAnsi="Times New Roman" w:cs="Times New Roman"/>
          <w:color w:val="000000"/>
          <w:sz w:val="28"/>
          <w:szCs w:val="28"/>
          <w:shd w:val="clear" w:color="auto" w:fill="FFFFFF"/>
        </w:rPr>
        <w:t>Tài liệu tuyên truyền trên hệ thống loa truyền thanh cơ sở tháng </w:t>
      </w:r>
      <w:r w:rsidRPr="004A7A30">
        <w:rPr>
          <w:rFonts w:ascii="Times New Roman" w:hAnsi="Times New Roman" w:cs="Times New Roman"/>
          <w:color w:val="000000"/>
          <w:sz w:val="28"/>
          <w:szCs w:val="28"/>
          <w:shd w:val="clear" w:color="auto" w:fill="FFFFFF"/>
        </w:rPr>
        <w:t>5</w:t>
      </w:r>
      <w:r w:rsidRPr="004A7A30">
        <w:rPr>
          <w:rFonts w:ascii="Times New Roman" w:hAnsi="Times New Roman" w:cs="Times New Roman"/>
          <w:color w:val="000000"/>
          <w:sz w:val="28"/>
          <w:szCs w:val="28"/>
          <w:shd w:val="clear" w:color="auto" w:fill="FFFFFF"/>
        </w:rPr>
        <w:t>/2024</w:t>
      </w:r>
    </w:p>
    <w:p w:rsidR="004A7A30" w:rsidRPr="004A7A30" w:rsidRDefault="004A7A30" w:rsidP="004A7A30">
      <w:pPr>
        <w:spacing w:after="0" w:line="288" w:lineRule="auto"/>
        <w:jc w:val="center"/>
        <w:textAlignment w:val="baseline"/>
        <w:outlineLvl w:val="2"/>
        <w:rPr>
          <w:rFonts w:ascii="Times New Roman" w:eastAsia="Times New Roman" w:hAnsi="Times New Roman" w:cs="Times New Roman"/>
          <w:b/>
          <w:bCs/>
          <w:sz w:val="28"/>
          <w:szCs w:val="28"/>
        </w:rPr>
      </w:pPr>
      <w:bookmarkStart w:id="0" w:name="_GoBack"/>
      <w:r w:rsidRPr="004A7A30">
        <w:rPr>
          <w:rFonts w:ascii="Times New Roman" w:hAnsi="Times New Roman" w:cs="Times New Roman"/>
          <w:b/>
          <w:sz w:val="28"/>
          <w:szCs w:val="28"/>
        </w:rPr>
        <w:t>Các chính sách</w:t>
      </w:r>
      <w:r w:rsidRPr="004A7A30">
        <w:rPr>
          <w:rFonts w:ascii="Times New Roman" w:hAnsi="Times New Roman" w:cs="Times New Roman"/>
          <w:sz w:val="28"/>
          <w:szCs w:val="28"/>
        </w:rPr>
        <w:t xml:space="preserve"> </w:t>
      </w:r>
      <w:r w:rsidRPr="004A7A30">
        <w:rPr>
          <w:rFonts w:ascii="Times New Roman" w:eastAsia="Times New Roman" w:hAnsi="Times New Roman" w:cs="Times New Roman"/>
          <w:b/>
          <w:bCs/>
          <w:sz w:val="28"/>
          <w:szCs w:val="28"/>
        </w:rPr>
        <w:t xml:space="preserve">có hiệu lực từ tháng </w:t>
      </w:r>
      <w:r w:rsidRPr="004A7A30">
        <w:rPr>
          <w:rFonts w:ascii="Times New Roman" w:eastAsia="Times New Roman" w:hAnsi="Times New Roman" w:cs="Times New Roman"/>
          <w:b/>
          <w:bCs/>
          <w:sz w:val="28"/>
          <w:szCs w:val="28"/>
        </w:rPr>
        <w:t>5</w:t>
      </w:r>
      <w:r w:rsidRPr="004A7A30">
        <w:rPr>
          <w:rFonts w:ascii="Times New Roman" w:eastAsia="Times New Roman" w:hAnsi="Times New Roman" w:cs="Times New Roman"/>
          <w:b/>
          <w:bCs/>
          <w:sz w:val="28"/>
          <w:szCs w:val="28"/>
        </w:rPr>
        <w:t xml:space="preserve"> năm 2024</w:t>
      </w:r>
    </w:p>
    <w:bookmarkEnd w:id="0"/>
    <w:p w:rsidR="004A7A30" w:rsidRPr="004A7A30" w:rsidRDefault="004A7A30" w:rsidP="004A7A30">
      <w:pPr>
        <w:pStyle w:val="NormalWeb"/>
        <w:shd w:val="clear" w:color="auto" w:fill="FFFFFF"/>
        <w:spacing w:before="0" w:beforeAutospacing="0" w:after="0" w:afterAutospacing="0"/>
        <w:jc w:val="both"/>
        <w:textAlignment w:val="baseline"/>
        <w:rPr>
          <w:color w:val="000000"/>
          <w:sz w:val="28"/>
          <w:szCs w:val="28"/>
        </w:rPr>
      </w:pPr>
    </w:p>
    <w:p w:rsidR="004A7A30" w:rsidRPr="004A7A30" w:rsidRDefault="004A7A30" w:rsidP="00973962">
      <w:pPr>
        <w:pStyle w:val="NormalWeb"/>
        <w:shd w:val="clear" w:color="auto" w:fill="FFFFFF"/>
        <w:spacing w:before="0" w:beforeAutospacing="0" w:after="0" w:afterAutospacing="0" w:line="288" w:lineRule="auto"/>
        <w:ind w:firstLine="720"/>
        <w:jc w:val="both"/>
        <w:textAlignment w:val="baseline"/>
        <w:rPr>
          <w:color w:val="000000"/>
          <w:sz w:val="28"/>
          <w:szCs w:val="28"/>
        </w:rPr>
      </w:pPr>
      <w:r w:rsidRPr="00973962">
        <w:rPr>
          <w:b/>
          <w:color w:val="000000"/>
          <w:sz w:val="28"/>
          <w:szCs w:val="28"/>
        </w:rPr>
        <w:t>1.</w:t>
      </w:r>
      <w:r w:rsidRPr="004A7A30">
        <w:rPr>
          <w:color w:val="000000"/>
          <w:sz w:val="28"/>
          <w:szCs w:val="28"/>
        </w:rPr>
        <w:t xml:space="preserve"> Ngày 06/3/2024, Chính phủ ban hành Nghị định số 29/2024/NĐ-CP quy định tiêu chuẩn chức danh công chức lãnh đạo, quản lý trong cơ quan hành chính nhà nước. Theo đó, phạm vi điều chỉnh của Nghị định này bao gồm: Bộ, cơ quan ngang Bộ; Văn phòng Quốc hội, Văn phòng Chủ tịch nước; Cơ quan thuộc Chính phủ; Bộ máy hành chính giúp việc của Tòa án nhân dân tối cao, Viện Kiểm sát nhân dân tối cao, Kiểm toán Nhà nước, cơ quan thuộc thẩm quyền quản lý của Ủy ban Thường vụ Quốc hội; Cơ quan chuyên môn thuộc Ủy ban nhân dân tỉnh, thành phố trực thuộc trung ương, Văn phòng Đoàn đại biểu Quốc hội và Hội đồng nhân dân tỉnh, thành phố trực thuộc trung ương; Cơ quan chuyên môn thuộc Ủy ban nhân dân huyện, quận, thị xã, thành phố thuộc tỉnh, thành phố thuộc thành phố trực thuộc trung ương; Các cơ quan, tổ chức hành chính nhà nước khác được thành lập theo quy định của pháp luật.</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từ ngày 01 tháng 5 năm 2024.</w:t>
      </w:r>
      <w:proofErr w:type="gramEnd"/>
      <w:r>
        <w:rPr>
          <w:color w:val="000000"/>
          <w:sz w:val="28"/>
          <w:szCs w:val="28"/>
        </w:rPr>
        <w:tab/>
      </w:r>
      <w:r w:rsidRPr="004A7A30">
        <w:rPr>
          <w:color w:val="000000"/>
          <w:sz w:val="28"/>
          <w:szCs w:val="28"/>
        </w:rPr>
        <w:br/>
      </w:r>
      <w:r w:rsidRPr="004A7A30">
        <w:rPr>
          <w:b/>
          <w:color w:val="000000"/>
          <w:sz w:val="28"/>
          <w:szCs w:val="28"/>
        </w:rPr>
        <w:t xml:space="preserve">         </w:t>
      </w:r>
      <w:r w:rsidRPr="004A7A30">
        <w:rPr>
          <w:b/>
          <w:color w:val="000000"/>
          <w:sz w:val="28"/>
          <w:szCs w:val="28"/>
        </w:rPr>
        <w:t>2.</w:t>
      </w:r>
      <w:r w:rsidRPr="004A7A30">
        <w:rPr>
          <w:color w:val="000000"/>
          <w:sz w:val="28"/>
          <w:szCs w:val="28"/>
        </w:rPr>
        <w:t xml:space="preserve"> Ngày 07/3/2024, Chính phủ ban hành Nghị định số 30/2024/NĐ-CP quy định về quản lý phương tiện giao thông cơ giới đường bộ đăng ký tại nước ngoài, do người nước ngoài đưa vào việt nam du lịch. Theo đó, Nghị định này quy định về việc quản lý phương tiện giao thông cơ giới đường bộ đăng ký tại nước ngoài, do người nước ngoài điều khiển vào tham gia giao thông tại Việt Nam với mục đích du lịch; trách nhiệm của tổ chức, cá nhân có liên quan. Nghị định này áp dụng đối với tổ chức, cá nhân Việt Nam, cá nhân nước ngoài liên quan đến phương tiện cơ giới nước ngoài, do người nước ngoài điều khiển vào tham gia giao thông tại Việt Nam với mục đích du lịch. Tổ chức cá nhân trong nước và nước ngoài liên quan đến việc phương tiện cơ giới nước ngoài, do người nước ngoài điều khiển vào tham gia giao thông tại Việt Nam với mục đích du lịch phải thực hiện quy định của Nghị định này và văn bản quy phạm pháp luật khác có liên quan. </w:t>
      </w:r>
      <w:proofErr w:type="gramStart"/>
      <w:r w:rsidRPr="004A7A30">
        <w:rPr>
          <w:color w:val="000000"/>
          <w:sz w:val="28"/>
          <w:szCs w:val="28"/>
        </w:rPr>
        <w:t>Trong trường hợp Điều ước quốc tế mà nước Cộng hòa xã hội chủ nghĩa Việt Nam là thành viên có quy định khác thì áp dụng các quy định của Điều ước quốc tế đó.</w:t>
      </w:r>
      <w:proofErr w:type="gramEnd"/>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kể từ ngày 01 tháng 5 năm 2024.</w:t>
      </w:r>
      <w:proofErr w:type="gramEnd"/>
      <w:r>
        <w:rPr>
          <w:color w:val="000000"/>
          <w:sz w:val="28"/>
          <w:szCs w:val="28"/>
        </w:rPr>
        <w:tab/>
      </w:r>
      <w:r w:rsidRPr="004A7A30">
        <w:rPr>
          <w:color w:val="000000"/>
          <w:sz w:val="28"/>
          <w:szCs w:val="28"/>
        </w:rPr>
        <w:br/>
      </w:r>
      <w:r>
        <w:rPr>
          <w:color w:val="000000"/>
          <w:sz w:val="28"/>
          <w:szCs w:val="28"/>
        </w:rPr>
        <w:t xml:space="preserve">          </w:t>
      </w:r>
      <w:r w:rsidRPr="004A7A30">
        <w:rPr>
          <w:b/>
          <w:color w:val="000000"/>
          <w:sz w:val="28"/>
          <w:szCs w:val="28"/>
        </w:rPr>
        <w:t>3.</w:t>
      </w:r>
      <w:r w:rsidRPr="004A7A30">
        <w:rPr>
          <w:color w:val="000000"/>
          <w:sz w:val="28"/>
          <w:szCs w:val="28"/>
        </w:rPr>
        <w:t xml:space="preserve"> Ngày 15/3/2024, Chính phủ ban hành Nghị định số 32/2024/NĐ-CP về quản lý, phát triển cụm công nghiệp. Theo đó, Nghị định này quy định về phương án phát triển cụm công nghiệp; thành lập, mở rộng cụm công nghiệp; đầu tư xây dựng hạ tầng kỹ thuật và sản xuất kinh doanh trong cụm công </w:t>
      </w:r>
      <w:r w:rsidRPr="004A7A30">
        <w:rPr>
          <w:color w:val="000000"/>
          <w:sz w:val="28"/>
          <w:szCs w:val="28"/>
        </w:rPr>
        <w:lastRenderedPageBreak/>
        <w:t>nghiệp; chính sách ưu đãi, hỗ trợ phát triển cụm công nghiệp và quản lý nhà nước đối với cụm công nghiệp.</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Nghị định này áp dụng với các đối tượng:</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a) Các doanh nghiệp, hợp tác xã, tổ chức đầu tư xây dựng hạ tầng kỹ thuật cụm công nghiệp;</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b) Các tổ chức, cá nhân sản xuất kinh doanh trong cụm công nghiệp;</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c) Các cơ quan, tổ chức, cá nhân khác liên quan tới quản lý, đầu tư và hoạt động của cụm công nghiệp.</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từ ngày 01 tháng 5 năm 2024.</w:t>
      </w:r>
      <w:proofErr w:type="gramEnd"/>
    </w:p>
    <w:p w:rsidR="00973962" w:rsidRDefault="004A7A30" w:rsidP="00973962">
      <w:pPr>
        <w:pStyle w:val="NormalWeb"/>
        <w:shd w:val="clear" w:color="auto" w:fill="FFFFFF"/>
        <w:spacing w:before="0" w:beforeAutospacing="0" w:after="0" w:afterAutospacing="0" w:line="288" w:lineRule="auto"/>
        <w:jc w:val="both"/>
        <w:textAlignment w:val="baseline"/>
        <w:rPr>
          <w:color w:val="000000"/>
          <w:sz w:val="28"/>
          <w:szCs w:val="28"/>
        </w:rPr>
      </w:pPr>
      <w:r w:rsidRPr="004A7A30">
        <w:rPr>
          <w:b/>
          <w:color w:val="000000"/>
          <w:sz w:val="28"/>
          <w:szCs w:val="28"/>
        </w:rPr>
        <w:t xml:space="preserve">          </w:t>
      </w:r>
      <w:r w:rsidRPr="004A7A30">
        <w:rPr>
          <w:b/>
          <w:color w:val="000000"/>
          <w:sz w:val="28"/>
          <w:szCs w:val="28"/>
        </w:rPr>
        <w:t>4.</w:t>
      </w:r>
      <w:r w:rsidRPr="004A7A30">
        <w:rPr>
          <w:color w:val="000000"/>
          <w:sz w:val="28"/>
          <w:szCs w:val="28"/>
        </w:rPr>
        <w:t xml:space="preserve"> Ngày 27/3/2024, Chính phủ ban hành Nghị định số 33/2024/NĐ-CP quy định việc thực hiện Công ước Cấm phát triển, sản xuất, tàng trữ, sử dụng và phá hủy vũ khí hóa học. Theo đó, Nghị định này quy định việc thực hiện Công ước cấm phát triển, sản xuất, tàng trữ, sử dụng và phá hủy vũ khí hóa học trên lãnh thổ nước Cộng hòa xã hội chủ nghĩa Việt Nam bao gồm:</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1. Các quy định chung về việc thực hiện Công ước cấm vũ khí hoá học.</w:t>
      </w:r>
      <w:r w:rsidRPr="004A7A30">
        <w:rPr>
          <w:color w:val="000000"/>
          <w:sz w:val="28"/>
          <w:szCs w:val="28"/>
        </w:rPr>
        <w:br/>
      </w:r>
      <w:r>
        <w:rPr>
          <w:color w:val="000000"/>
          <w:sz w:val="28"/>
          <w:szCs w:val="28"/>
        </w:rPr>
        <w:t xml:space="preserve">           </w:t>
      </w:r>
      <w:r w:rsidRPr="004A7A30">
        <w:rPr>
          <w:color w:val="000000"/>
          <w:sz w:val="28"/>
          <w:szCs w:val="28"/>
        </w:rPr>
        <w:t>2. Sản xuất, kinh doanh, xuất khẩu, nhập khẩu, chế biến, sử dụng, tàng trữ hoá chất Bảng; sản xuất hoá chất DOC, DOC-PSF.</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 xml:space="preserve">3. </w:t>
      </w:r>
      <w:proofErr w:type="gramStart"/>
      <w:r w:rsidRPr="004A7A30">
        <w:rPr>
          <w:color w:val="000000"/>
          <w:sz w:val="28"/>
          <w:szCs w:val="28"/>
        </w:rPr>
        <w:t>Báo cáo hoá chất Bảng, hoá chất DOC, DOC-PSF.</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4.</w:t>
      </w:r>
      <w:proofErr w:type="gramEnd"/>
      <w:r w:rsidRPr="004A7A30">
        <w:rPr>
          <w:color w:val="000000"/>
          <w:sz w:val="28"/>
          <w:szCs w:val="28"/>
        </w:rPr>
        <w:t xml:space="preserve"> Các quy định về thanh sát và thanh tra, kiểm tra.</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5. Quản lý nhà nước về hoá chất Bảng, hoá chất DOC, DOC-PSF.</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Nghị định này áp dụng đối với tổ chức, cá nhân tham gia hoặc liên quan đến các hoạt động thực hiện Công ước cấm vũ khí hóa học trên lãnh thổ nước Cộng hoà xã hội chủ nghĩa Việt Nam.</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từ ngày 19 tháng 5 năm 2024.</w:t>
      </w:r>
      <w:proofErr w:type="gramEnd"/>
      <w:r>
        <w:rPr>
          <w:color w:val="000000"/>
          <w:sz w:val="28"/>
          <w:szCs w:val="28"/>
        </w:rPr>
        <w:tab/>
      </w:r>
      <w:r w:rsidRPr="004A7A30">
        <w:rPr>
          <w:color w:val="000000"/>
          <w:sz w:val="28"/>
          <w:szCs w:val="28"/>
        </w:rPr>
        <w:br/>
      </w:r>
      <w:r w:rsidRPr="004A7A30">
        <w:rPr>
          <w:b/>
          <w:color w:val="000000"/>
          <w:sz w:val="28"/>
          <w:szCs w:val="28"/>
        </w:rPr>
        <w:t xml:space="preserve">          </w:t>
      </w:r>
      <w:r w:rsidRPr="004A7A30">
        <w:rPr>
          <w:b/>
          <w:color w:val="000000"/>
          <w:sz w:val="28"/>
          <w:szCs w:val="28"/>
        </w:rPr>
        <w:t>5.</w:t>
      </w:r>
      <w:r w:rsidRPr="004A7A30">
        <w:rPr>
          <w:color w:val="000000"/>
          <w:sz w:val="28"/>
          <w:szCs w:val="28"/>
        </w:rPr>
        <w:t xml:space="preserve"> Ngày 31/3/2024, Chính phủ ban hành Nghị định số 34/2024/NĐ-CP quy định danh mục hàng hoá nguy hiểm, vận chuyển hàng hoá nguy hiểm bằng phương tiện giao thông cơ giới đường bộ và phương tiện thủy nội địa. Theo đó, Nghị định này quy định Danh mục hàng hóa nguy hiểm, việc vận chuyển hàng hóa nguy hiểm, cấp Giấy phép vận chuyển hàng hóa nguy hiểm bằng phương tiện giao thông cơ giới đường bộ và vận chuyển hàng hóa nguy hiểm trên đường thủy nội địa.</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 xml:space="preserve">Đối với hoạt động vận chuyển các chất phóng xạ, ngoài việc thực hiện Nghị định này còn phải thực hiện </w:t>
      </w:r>
      <w:proofErr w:type="gramStart"/>
      <w:r w:rsidRPr="004A7A30">
        <w:rPr>
          <w:color w:val="000000"/>
          <w:sz w:val="28"/>
          <w:szCs w:val="28"/>
        </w:rPr>
        <w:t>theo</w:t>
      </w:r>
      <w:proofErr w:type="gramEnd"/>
      <w:r w:rsidRPr="004A7A30">
        <w:rPr>
          <w:color w:val="000000"/>
          <w:sz w:val="28"/>
          <w:szCs w:val="28"/>
        </w:rPr>
        <w:t xml:space="preserve"> quy định của pháp luật về năng lượng nguyên tử.</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 xml:space="preserve">Đối với hoạt động vận chuyển vũ khí, vật liệu nổ, công cụ hỗ trợ, tiền chất thuốc nổ, pháo thực hiện </w:t>
      </w:r>
      <w:proofErr w:type="gramStart"/>
      <w:r w:rsidRPr="004A7A30">
        <w:rPr>
          <w:color w:val="000000"/>
          <w:sz w:val="28"/>
          <w:szCs w:val="28"/>
        </w:rPr>
        <w:t>theo</w:t>
      </w:r>
      <w:proofErr w:type="gramEnd"/>
      <w:r w:rsidRPr="004A7A30">
        <w:rPr>
          <w:color w:val="000000"/>
          <w:sz w:val="28"/>
          <w:szCs w:val="28"/>
        </w:rPr>
        <w:t xml:space="preserve"> quy định của pháp luật về vũ khí, vật liệu nổ, </w:t>
      </w:r>
      <w:r w:rsidRPr="004A7A30">
        <w:rPr>
          <w:color w:val="000000"/>
          <w:sz w:val="28"/>
          <w:szCs w:val="28"/>
        </w:rPr>
        <w:lastRenderedPageBreak/>
        <w:t>công cụ hỗ trợ, tiền chất thuốc nổ và pháo.</w:t>
      </w:r>
      <w:r>
        <w:rPr>
          <w:color w:val="000000"/>
          <w:sz w:val="28"/>
          <w:szCs w:val="28"/>
        </w:rPr>
        <w:tab/>
      </w:r>
      <w:r w:rsidRPr="004A7A30">
        <w:rPr>
          <w:color w:val="000000"/>
          <w:sz w:val="28"/>
          <w:szCs w:val="28"/>
        </w:rPr>
        <w:br/>
        <w:t>Đối với hoạt động vận chuyển các loại hàng hóa nguy hiểm phục vụ mục đích an ninh, quốc phòng của lực lượng vũ trang thực hiện theo quy định của Nghị định này và do Bộ trưởng Bộ Công an và Bộ trưởng Bộ Quốc phòng tổ chức thực hiện.</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Đối với các hàng hóa nguy hiểm là chất thải nguy hại, ngoài quy định của nghị định này còn phải tuân thủ quy định của pháp luật về bảo vệ môi trường.</w:t>
      </w:r>
      <w:proofErr w:type="gramEnd"/>
      <w:r w:rsidRPr="004A7A30">
        <w:rPr>
          <w:color w:val="000000"/>
          <w:sz w:val="28"/>
          <w:szCs w:val="28"/>
        </w:rPr>
        <w:br/>
      </w:r>
      <w:r>
        <w:rPr>
          <w:color w:val="000000"/>
          <w:sz w:val="28"/>
          <w:szCs w:val="28"/>
        </w:rPr>
        <w:t xml:space="preserve">          </w:t>
      </w:r>
      <w:r w:rsidRPr="004A7A30">
        <w:rPr>
          <w:color w:val="000000"/>
          <w:sz w:val="28"/>
          <w:szCs w:val="28"/>
        </w:rPr>
        <w:t>Đối với trường hợp có quy định khác nhau giữa Nghị định này với quy định của pháp luật về năng lượng nguyên tử, vũ khí, vật liệu nổ, công cụ hỗ trợ, tiền chất thuốc nổ, pháo, bảo vệ môi trường, phòng cháy và chữa cháy thì thực hiện theo quy định của pháp luật về năng lượng nguyên tử, vũ khí, vật liệu nổ, công cụ hỗ trợ, tiền chất thuốc nổ và pháo, bảo vệ môi trường, phòng cháy và chữa cháy.</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Nghị định này có hiệu lực thi hành kể từ ngày 15 tháng 5 năm 2024 và thay thế Nghị định số 42/2020/NĐ-CP, ngày 08 tháng 4 năm 2020 của Chính phủ quy định danh mục hàng hóa nguy hiểm, vận chuyển hàng hóa nguy hiểm bằng phương tiện giao thông cơ giới đường bộ và vận chuyển hàng hóa nguy hiểm trên đường thủy nội địa.</w:t>
      </w:r>
      <w:r>
        <w:rPr>
          <w:color w:val="000000"/>
          <w:sz w:val="28"/>
          <w:szCs w:val="28"/>
        </w:rPr>
        <w:tab/>
      </w:r>
      <w:r w:rsidRPr="004A7A30">
        <w:rPr>
          <w:color w:val="000000"/>
          <w:sz w:val="28"/>
          <w:szCs w:val="28"/>
        </w:rPr>
        <w:br/>
      </w:r>
      <w:r w:rsidRPr="004A7A30">
        <w:rPr>
          <w:b/>
          <w:color w:val="000000"/>
          <w:sz w:val="28"/>
          <w:szCs w:val="28"/>
        </w:rPr>
        <w:t xml:space="preserve">           </w:t>
      </w:r>
      <w:r w:rsidRPr="004A7A30">
        <w:rPr>
          <w:b/>
          <w:color w:val="000000"/>
          <w:sz w:val="28"/>
          <w:szCs w:val="28"/>
        </w:rPr>
        <w:t>6.</w:t>
      </w:r>
      <w:r w:rsidRPr="004A7A30">
        <w:rPr>
          <w:color w:val="000000"/>
          <w:sz w:val="28"/>
          <w:szCs w:val="28"/>
        </w:rPr>
        <w:t xml:space="preserve"> Ngày 02/4/2024, Chính phủ ban hành Nghị định số 35/2024/NĐ-CP quy định về xét tặng danh hiệu “Nhà giáo nhân dân”, “Nhà giáo ưu tú”. </w:t>
      </w:r>
      <w:proofErr w:type="gramStart"/>
      <w:r w:rsidRPr="004A7A30">
        <w:rPr>
          <w:color w:val="000000"/>
          <w:sz w:val="28"/>
          <w:szCs w:val="28"/>
        </w:rPr>
        <w:t>Theo đó, Nghị định này quy định đối tượng, nguyên tắc, tiêu chuẩn, hội đồng xét tặng, hồ sơ, trình tự, thủ tục xét tặng danh hiệu “Nhà giáo nhân dân”, “Nhà giáo ưu tú”.</w:t>
      </w:r>
      <w:proofErr w:type="gramEnd"/>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Đối tượng áp dụng của Nghị định này là:</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1. Nhà giáo, cán bộ quản lý giáo dục, cán bộ nghiên cứu giáo dục bao gồm:</w:t>
      </w:r>
      <w:r w:rsidRPr="004A7A30">
        <w:rPr>
          <w:color w:val="000000"/>
          <w:sz w:val="28"/>
          <w:szCs w:val="28"/>
        </w:rPr>
        <w:br/>
      </w:r>
      <w:r>
        <w:rPr>
          <w:color w:val="000000"/>
          <w:sz w:val="28"/>
          <w:szCs w:val="28"/>
        </w:rPr>
        <w:t xml:space="preserve">        </w:t>
      </w:r>
      <w:r w:rsidRPr="004A7A30">
        <w:rPr>
          <w:color w:val="000000"/>
          <w:sz w:val="28"/>
          <w:szCs w:val="28"/>
        </w:rPr>
        <w:t>a) Nhà giáo và cán bộ quản lý tại cơ sở giáo dục làm nhiệm vụ chăm sóc, nuôi dưỡng, giáo dục (sau đây gọi chung là nuôi dạy), giảng dạy trong cơ sở giáo dục theo quy định của Luật Giáo dục;</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b) Cán bộ quản lý làm nhiệm vụ quản lý tại các cơ quan quản lý giáo dục theo quy định của pháp luật (sau đây gọi chung là cán bộ quản lý tại cơ quan quản lý giáo dục);</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c) Cán bộ nghiên cứu giáo dục làm nhiệm vụ nghiên cứu về khoa học giáo dục và đào tạo, giáo dục nghề nghiệp;</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 xml:space="preserve">d) Nhà giáo, cán bộ quản lý tại cơ sở giáo dục, cán bộ quản lý tại cơ quan </w:t>
      </w:r>
      <w:r w:rsidRPr="004A7A30">
        <w:rPr>
          <w:color w:val="000000"/>
          <w:sz w:val="28"/>
          <w:szCs w:val="28"/>
        </w:rPr>
        <w:lastRenderedPageBreak/>
        <w:t>quản lý giáo dục, cán bộ nghiên cứu giáo dục đã nghỉ hưu theo chế độ bảo hiểm xã hội giữa hai lần xét tặng liền kề với năm xét tặng;</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đ)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2. Tổ chức, cá nhân liên quan tới hoạt động xét tặng danh hiệu “Nhà giáo nhân dân”, “Nhà giáo ưu tú”.</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từ ngày 25 tháng 5 năm 2024.</w:t>
      </w:r>
      <w:proofErr w:type="gramEnd"/>
      <w:r>
        <w:rPr>
          <w:color w:val="000000"/>
          <w:sz w:val="28"/>
          <w:szCs w:val="28"/>
        </w:rPr>
        <w:tab/>
      </w:r>
      <w:r w:rsidRPr="004A7A30">
        <w:rPr>
          <w:color w:val="000000"/>
          <w:sz w:val="28"/>
          <w:szCs w:val="28"/>
        </w:rPr>
        <w:br/>
      </w:r>
      <w:r>
        <w:rPr>
          <w:color w:val="000000"/>
          <w:sz w:val="28"/>
          <w:szCs w:val="28"/>
        </w:rPr>
        <w:t xml:space="preserve">         </w:t>
      </w:r>
      <w:r w:rsidRPr="004A7A30">
        <w:rPr>
          <w:b/>
          <w:color w:val="000000"/>
          <w:sz w:val="28"/>
          <w:szCs w:val="28"/>
        </w:rPr>
        <w:t>7.</w:t>
      </w:r>
      <w:r w:rsidRPr="004A7A30">
        <w:rPr>
          <w:color w:val="000000"/>
          <w:sz w:val="28"/>
          <w:szCs w:val="28"/>
        </w:rPr>
        <w:t xml:space="preserve"> Ngày 04/4/2024, Chính phủ ban hành Nghị định số 36/2024/NĐ-CP quy định chi tiết xét tặng “Giải thưởng Hồ Chí Minh”, “Giải thưởng Nhà nước” về văn học, nghệ thuật. Theo đó, Nghị định này quy định đối tượng, điều kiện, tiêu chuẩn, trình tự, thủ tục xét tặng hoặc truy tặng “Giải thưởng Hồ Chí Minh”, “Giải thưởng Nhà nước” về văn học, nghệ thuật.</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Nghị định này áp dụng đối với:</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1. Tác giả hoặc đồng tác giả là công dân Việt Nam, người nước ngoài có tác phẩm, cụm tác phẩm, công trình, cụm công trình về văn học, nghệ thuật đáp ứng các điều kiện, tiêu chuẩn quy định tại các Điều 7, 8 và 9 Nghị định này, thuộc các chuyên ngành sau đây được đề nghị xét tặng “Giải thưởng Hồ Chí Minh” hoặc “Giải thưởng Nhà nước” về văn học, nghệ thuật:</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a) Âm nhạc: Tác phẩm thuộc các thể loại âm nhạc; công trình nghiên cứu lý luận phê bình về âm nhạc;</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b) Điện ảnh: Bộ phim thuộc các loại hình phim theo quy định tại Luật Điện ảnh; công trình nghiên cứu lý luận phê bình về điện ảnh; kịch bản được dựng thành phim và được công chiếu;</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c) Kiến trúc: Công trình kiến trúc được xây dựng; công trình nghiên cứu lý luận phê bình về kiến trúc; quy hoạch đô thị được phê duyệt, triển khai;</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d) Múa: Vở múa thuộc các loại hình múa; công trình nghiên cứu lý luận phê bình về múa; kịch bản múa được dàn dựng và được công diễn;</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đ) Mỹ thuật: Tác phẩm thuộc các loại hình mỹ thuật; công trình nghiên cứu lý luận phê bình về mỹ thuật;</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e) Nhiếp ảnh: Tác phẩm thuộc các loại hình nhiếp ảnh; công trình nghiên cứu lý luận phê bình về nhiếp ảnh;</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g) Sân khấu: Vở diễn thuộc các loại hình sân khấu; công trình nghiên cứu lý luận phê bình về sân khấu; kịch bản được dàn dựng thành vở diễn và được công diễn;</w:t>
      </w:r>
      <w:r>
        <w:rPr>
          <w:color w:val="000000"/>
          <w:sz w:val="28"/>
          <w:szCs w:val="28"/>
        </w:rPr>
        <w:tab/>
      </w:r>
      <w:r w:rsidRPr="004A7A30">
        <w:rPr>
          <w:color w:val="000000"/>
          <w:sz w:val="28"/>
          <w:szCs w:val="28"/>
        </w:rPr>
        <w:br/>
      </w:r>
      <w:r>
        <w:rPr>
          <w:color w:val="000000"/>
          <w:sz w:val="28"/>
          <w:szCs w:val="28"/>
        </w:rPr>
        <w:lastRenderedPageBreak/>
        <w:t xml:space="preserve">         </w:t>
      </w:r>
      <w:r w:rsidRPr="004A7A30">
        <w:rPr>
          <w:color w:val="000000"/>
          <w:sz w:val="28"/>
          <w:szCs w:val="28"/>
        </w:rPr>
        <w:t>h) Văn học: Tác phẩm thuộc các thể loại văn học; công trình nghiên cứu lý luận phê bình về văn học;</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i) Văn nghệ dân gian: Tác phẩm thuộc các thể loại văn nghệ dân gian; công trình nghiên cứu lý luận phê bình về văn nghệ dân gian.</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2. Tổ chức, cá nhân có liên quan đến hoạt động xét tặng “Giải thưởng Hồ Chí Minh, “Giải thưởng Nhà nước” về văn học, nghệ thuật.</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từ ngày 20 tháng 5 năm 2024.</w:t>
      </w:r>
      <w:proofErr w:type="gramEnd"/>
      <w:r>
        <w:rPr>
          <w:color w:val="000000"/>
          <w:sz w:val="28"/>
          <w:szCs w:val="28"/>
        </w:rPr>
        <w:tab/>
      </w:r>
      <w:r w:rsidRPr="004A7A30">
        <w:rPr>
          <w:color w:val="000000"/>
          <w:sz w:val="28"/>
          <w:szCs w:val="28"/>
        </w:rPr>
        <w:br/>
      </w:r>
      <w:r>
        <w:rPr>
          <w:color w:val="000000"/>
          <w:sz w:val="28"/>
          <w:szCs w:val="28"/>
        </w:rPr>
        <w:t xml:space="preserve">          </w:t>
      </w:r>
      <w:r w:rsidRPr="004A7A30">
        <w:rPr>
          <w:b/>
          <w:color w:val="000000"/>
          <w:sz w:val="28"/>
          <w:szCs w:val="28"/>
        </w:rPr>
        <w:t>8.</w:t>
      </w:r>
      <w:r w:rsidRPr="004A7A30">
        <w:rPr>
          <w:color w:val="000000"/>
          <w:sz w:val="28"/>
          <w:szCs w:val="28"/>
        </w:rPr>
        <w:t xml:space="preserve"> Ngày 04/4/2024, Chính phủ ban hành Nghị định số 37/2024/NĐ-CP sửa đổi, bổ sung một số điều của Nghị định số 26/2019/NĐ-CP ngày 08 tháng 3 năm 2019 của Chính phủ quy định chi tiết một số điều và biện pháp thi hành Luật Thủy sản. Theo đó, Nghị định này bổ sung khoản 9 vào Điều 4 như sau:</w:t>
      </w:r>
      <w:r w:rsidRPr="004A7A30">
        <w:rPr>
          <w:color w:val="000000"/>
          <w:sz w:val="28"/>
          <w:szCs w:val="28"/>
        </w:rPr>
        <w:br/>
      </w:r>
      <w:r>
        <w:rPr>
          <w:color w:val="000000"/>
          <w:sz w:val="28"/>
          <w:szCs w:val="28"/>
        </w:rPr>
        <w:t xml:space="preserve">         </w:t>
      </w:r>
      <w:r w:rsidRPr="004A7A30">
        <w:rPr>
          <w:color w:val="000000"/>
          <w:sz w:val="28"/>
          <w:szCs w:val="28"/>
        </w:rPr>
        <w:t>“9. Trường hợp thiên tai, dịch bệnh không thể tổ chức kiểm tra, đánh giá thực tế tại cơ sở để cấp giấy phép, giấy chứng nhận, văn bản chấp thuận, kiểm tra duy trì điều kiện của cơ sở:</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a) Cơ quan có thẩm quyền áp dụng hình thức đánh giá trực tuyến khi cơ sở đáp ứng yêu cầu về nguồn lực, phương tiện kỹ thuật thực hiện; cơ sở cung cấp hồ sơ, tài liệu có liên quan bằng bản giấy hoặc bản điện tử cho cơ quan kiểm tra hoặc tạm hoãn hoặc gia hạn có thời hạn giấy phép, giấy chứng nhận, văn bản chấp thuận, thời hạn kiểm tra duy trì.</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b) Tổ chức, cá nhân sản xuất, kinh doanh, tổ chức đánh giá sự phù hợp chịu trách nhiệm trước pháp luật về tính chính xác của thông tin, tài liệu, hình ảnh, hồ sơ cung cấp cho cơ quan cấp phép.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r>
        <w:rPr>
          <w:color w:val="000000"/>
          <w:sz w:val="28"/>
          <w:szCs w:val="28"/>
        </w:rPr>
        <w:tab/>
      </w:r>
      <w:r w:rsidRPr="004A7A30">
        <w:rPr>
          <w:color w:val="000000"/>
          <w:sz w:val="28"/>
          <w:szCs w:val="28"/>
        </w:rPr>
        <w:br/>
      </w:r>
      <w:r>
        <w:rPr>
          <w:color w:val="000000"/>
          <w:sz w:val="28"/>
          <w:szCs w:val="28"/>
        </w:rPr>
        <w:t xml:space="preserve">         </w:t>
      </w:r>
      <w:r w:rsidRPr="004A7A30">
        <w:rPr>
          <w:color w:val="000000"/>
          <w:sz w:val="28"/>
          <w:szCs w:val="28"/>
        </w:rPr>
        <w:t>c) Bộ Nông nghiệp và Phát triển nông thôn hướng dẫn nội dung nghiệp vụ, kỹ thuật để thực hiện các biện pháp trong trường hợp cần thiết tại điểm a và điểm b khoản này.”</w:t>
      </w:r>
      <w:r>
        <w:rPr>
          <w:color w:val="000000"/>
          <w:sz w:val="28"/>
          <w:szCs w:val="28"/>
        </w:rPr>
        <w:tab/>
      </w:r>
      <w:r w:rsidRPr="004A7A30">
        <w:rPr>
          <w:color w:val="000000"/>
          <w:sz w:val="28"/>
          <w:szCs w:val="28"/>
        </w:rPr>
        <w:br/>
      </w:r>
      <w:r>
        <w:rPr>
          <w:color w:val="000000"/>
          <w:sz w:val="28"/>
          <w:szCs w:val="28"/>
        </w:rPr>
        <w:t xml:space="preserve">          </w:t>
      </w:r>
      <w:proofErr w:type="gramStart"/>
      <w:r w:rsidRPr="004A7A30">
        <w:rPr>
          <w:color w:val="000000"/>
          <w:sz w:val="28"/>
          <w:szCs w:val="28"/>
        </w:rPr>
        <w:t>Nghị định này có hiệu lực thi hành từ ngày 19 tháng 5 năm 2024.</w:t>
      </w:r>
      <w:proofErr w:type="gramEnd"/>
      <w:r>
        <w:rPr>
          <w:color w:val="000000"/>
          <w:sz w:val="28"/>
          <w:szCs w:val="28"/>
        </w:rPr>
        <w:tab/>
      </w:r>
      <w:r w:rsidRPr="004A7A30">
        <w:rPr>
          <w:color w:val="000000"/>
          <w:sz w:val="28"/>
          <w:szCs w:val="28"/>
        </w:rPr>
        <w:br/>
      </w:r>
      <w:r>
        <w:rPr>
          <w:color w:val="000000"/>
          <w:sz w:val="28"/>
          <w:szCs w:val="28"/>
        </w:rPr>
        <w:t xml:space="preserve">          </w:t>
      </w:r>
      <w:r w:rsidRPr="004A7A30">
        <w:rPr>
          <w:b/>
          <w:color w:val="000000"/>
          <w:sz w:val="28"/>
          <w:szCs w:val="28"/>
        </w:rPr>
        <w:t>9.</w:t>
      </w:r>
      <w:r w:rsidRPr="004A7A30">
        <w:rPr>
          <w:color w:val="000000"/>
          <w:sz w:val="28"/>
          <w:szCs w:val="28"/>
        </w:rPr>
        <w:t xml:space="preserve"> Ngày 05/4/2024, Chính phủ ban hành Nghị định số 38/2024/NĐ-CP quy định xử phạt </w:t>
      </w:r>
      <w:proofErr w:type="gramStart"/>
      <w:r w:rsidRPr="004A7A30">
        <w:rPr>
          <w:color w:val="000000"/>
          <w:sz w:val="28"/>
          <w:szCs w:val="28"/>
        </w:rPr>
        <w:t>vi</w:t>
      </w:r>
      <w:proofErr w:type="gramEnd"/>
      <w:r w:rsidRPr="004A7A30">
        <w:rPr>
          <w:color w:val="000000"/>
          <w:sz w:val="28"/>
          <w:szCs w:val="28"/>
        </w:rPr>
        <w:t xml:space="preserve"> phạm hành chính trong lĩnh vực thủy sản. Theo đó, Nghị định này quy định về hành </w:t>
      </w:r>
      <w:proofErr w:type="gramStart"/>
      <w:r w:rsidRPr="004A7A30">
        <w:rPr>
          <w:color w:val="000000"/>
          <w:sz w:val="28"/>
          <w:szCs w:val="28"/>
        </w:rPr>
        <w:t>vi</w:t>
      </w:r>
      <w:proofErr w:type="gramEnd"/>
      <w:r w:rsidRPr="004A7A30">
        <w:rPr>
          <w:color w:val="000000"/>
          <w:sz w:val="28"/>
          <w:szCs w:val="28"/>
        </w:rPr>
        <w:t xml:space="preserve"> vi phạm hành chính, hình thức, mức xử phạt, biện pháp khắc phục hậu quả, thẩm quyền lập biên bản và thẩm quyền xử phạt đối với hành vi vi phạm hành chính trong lĩnh vực thủy sản. Các hành </w:t>
      </w:r>
      <w:proofErr w:type="gramStart"/>
      <w:r w:rsidRPr="004A7A30">
        <w:rPr>
          <w:color w:val="000000"/>
          <w:sz w:val="28"/>
          <w:szCs w:val="28"/>
        </w:rPr>
        <w:t>vi</w:t>
      </w:r>
      <w:proofErr w:type="gramEnd"/>
      <w:r w:rsidRPr="004A7A30">
        <w:rPr>
          <w:color w:val="000000"/>
          <w:sz w:val="28"/>
          <w:szCs w:val="28"/>
        </w:rPr>
        <w:t xml:space="preserve"> vi phạm hành chính trong lĩnh vực thủy sản không quy định tại Nghị định này thì áp </w:t>
      </w:r>
      <w:r w:rsidRPr="004A7A30">
        <w:rPr>
          <w:color w:val="000000"/>
          <w:sz w:val="28"/>
          <w:szCs w:val="28"/>
        </w:rPr>
        <w:lastRenderedPageBreak/>
        <w:t>dụng quy định của pháp luật về xử phạt vi phạm hành chính trong các lĩnh vực quản lý nhà nước có liên quan.</w:t>
      </w:r>
      <w:r>
        <w:rPr>
          <w:color w:val="000000"/>
          <w:sz w:val="28"/>
          <w:szCs w:val="28"/>
        </w:rPr>
        <w:tab/>
      </w:r>
      <w:r w:rsidRPr="004A7A30">
        <w:rPr>
          <w:color w:val="000000"/>
          <w:sz w:val="28"/>
          <w:szCs w:val="28"/>
        </w:rPr>
        <w:br/>
      </w:r>
      <w:r w:rsidR="00973962">
        <w:rPr>
          <w:color w:val="000000"/>
          <w:sz w:val="28"/>
          <w:szCs w:val="28"/>
        </w:rPr>
        <w:t xml:space="preserve">          </w:t>
      </w:r>
      <w:r w:rsidRPr="004A7A30">
        <w:rPr>
          <w:color w:val="000000"/>
          <w:sz w:val="28"/>
          <w:szCs w:val="28"/>
        </w:rPr>
        <w:t xml:space="preserve">Đối tượng bị xử phạt </w:t>
      </w:r>
      <w:proofErr w:type="gramStart"/>
      <w:r w:rsidRPr="004A7A30">
        <w:rPr>
          <w:color w:val="000000"/>
          <w:sz w:val="28"/>
          <w:szCs w:val="28"/>
        </w:rPr>
        <w:t>vi</w:t>
      </w:r>
      <w:proofErr w:type="gramEnd"/>
      <w:r w:rsidRPr="004A7A30">
        <w:rPr>
          <w:color w:val="000000"/>
          <w:sz w:val="28"/>
          <w:szCs w:val="28"/>
        </w:rPr>
        <w:t xml:space="preserve"> phạm hành chính bao gồm:</w:t>
      </w:r>
      <w:r w:rsidR="00973962">
        <w:rPr>
          <w:color w:val="000000"/>
          <w:sz w:val="28"/>
          <w:szCs w:val="28"/>
        </w:rPr>
        <w:tab/>
      </w:r>
      <w:r w:rsidRPr="004A7A30">
        <w:rPr>
          <w:color w:val="000000"/>
          <w:sz w:val="28"/>
          <w:szCs w:val="28"/>
        </w:rPr>
        <w:br/>
      </w:r>
      <w:r w:rsidR="00973962">
        <w:rPr>
          <w:color w:val="000000"/>
          <w:sz w:val="28"/>
          <w:szCs w:val="28"/>
        </w:rPr>
        <w:t xml:space="preserve">         </w:t>
      </w:r>
      <w:r w:rsidRPr="004A7A30">
        <w:rPr>
          <w:color w:val="000000"/>
          <w:sz w:val="28"/>
          <w:szCs w:val="28"/>
        </w:rPr>
        <w:t>1. Tổ chức, cá nhân Việt Nam, tổ chức, cá nhân nước ngoài (sau đây viết chung là tổ chức, cá nhân) thực hiện hành vi vi phạm hành chính quy định tại Nghị định này.</w:t>
      </w:r>
      <w:r w:rsidR="00973962">
        <w:rPr>
          <w:color w:val="000000"/>
          <w:sz w:val="28"/>
          <w:szCs w:val="28"/>
        </w:rPr>
        <w:tab/>
      </w:r>
      <w:r w:rsidRPr="004A7A30">
        <w:rPr>
          <w:color w:val="000000"/>
          <w:sz w:val="28"/>
          <w:szCs w:val="28"/>
        </w:rPr>
        <w:br/>
      </w:r>
      <w:r w:rsidR="00973962">
        <w:rPr>
          <w:color w:val="000000"/>
          <w:sz w:val="28"/>
          <w:szCs w:val="28"/>
        </w:rPr>
        <w:t xml:space="preserve">          </w:t>
      </w:r>
      <w:r w:rsidRPr="004A7A30">
        <w:rPr>
          <w:color w:val="000000"/>
          <w:sz w:val="28"/>
          <w:szCs w:val="28"/>
        </w:rPr>
        <w:t>2. Tổ chức là đối tượng bị xử phạt vi phạm hành chính theo quy định của Nghị định này, bao gồm:</w:t>
      </w:r>
      <w:r w:rsidR="00973962">
        <w:rPr>
          <w:color w:val="000000"/>
          <w:sz w:val="28"/>
          <w:szCs w:val="28"/>
        </w:rPr>
        <w:tab/>
      </w:r>
      <w:r w:rsidRPr="004A7A30">
        <w:rPr>
          <w:color w:val="000000"/>
          <w:sz w:val="28"/>
          <w:szCs w:val="28"/>
        </w:rPr>
        <w:br/>
      </w:r>
      <w:r w:rsidR="00973962">
        <w:rPr>
          <w:color w:val="000000"/>
          <w:sz w:val="28"/>
          <w:szCs w:val="28"/>
        </w:rPr>
        <w:t xml:space="preserve">         </w:t>
      </w:r>
      <w:r w:rsidRPr="004A7A30">
        <w:rPr>
          <w:color w:val="000000"/>
          <w:sz w:val="28"/>
          <w:szCs w:val="28"/>
        </w:rPr>
        <w:t>a) Tổ chức kinh tế được thành lập theo quy định của Luật Doanh nghiệp, Luật Đầu tư gồm: Doanh nghiệp tư nhân, công ty cổ phần, công ty trách nhiệm hữu hạn, công ty hợp danh và tổ chức thành lập theo pháp luật nước ngoài đầu tư kinh doanh tại Việt Nam;</w:t>
      </w:r>
      <w:r w:rsidR="00973962">
        <w:rPr>
          <w:color w:val="000000"/>
          <w:sz w:val="28"/>
          <w:szCs w:val="28"/>
        </w:rPr>
        <w:tab/>
      </w:r>
      <w:r w:rsidRPr="004A7A30">
        <w:rPr>
          <w:color w:val="000000"/>
          <w:sz w:val="28"/>
          <w:szCs w:val="28"/>
        </w:rPr>
        <w:br/>
      </w:r>
      <w:r w:rsidR="00973962">
        <w:rPr>
          <w:color w:val="000000"/>
          <w:sz w:val="28"/>
          <w:szCs w:val="28"/>
        </w:rPr>
        <w:t xml:space="preserve">          </w:t>
      </w:r>
      <w:r w:rsidRPr="004A7A30">
        <w:rPr>
          <w:color w:val="000000"/>
          <w:sz w:val="28"/>
          <w:szCs w:val="28"/>
        </w:rPr>
        <w:t>b) Tổ chức kinh tế được thành lập theo quy định của Luật Hợp tác xã gồm: Hợp tác xã, liên hiệp hợp tác xã;</w:t>
      </w:r>
      <w:r w:rsidR="00973962">
        <w:rPr>
          <w:color w:val="000000"/>
          <w:sz w:val="28"/>
          <w:szCs w:val="28"/>
        </w:rPr>
        <w:tab/>
      </w:r>
      <w:r w:rsidRPr="004A7A30">
        <w:rPr>
          <w:color w:val="000000"/>
          <w:sz w:val="28"/>
          <w:szCs w:val="28"/>
        </w:rPr>
        <w:br/>
      </w:r>
      <w:r w:rsidR="00973962">
        <w:rPr>
          <w:color w:val="000000"/>
          <w:sz w:val="28"/>
          <w:szCs w:val="28"/>
        </w:rPr>
        <w:t xml:space="preserve">          </w:t>
      </w:r>
      <w:r w:rsidRPr="004A7A30">
        <w:rPr>
          <w:color w:val="000000"/>
          <w:sz w:val="28"/>
          <w:szCs w:val="28"/>
        </w:rPr>
        <w:t>c) Tổ chức chính trị - xã hội, tổ chức xã hội, tổ chức xã hội - nghề nghiệp;</w:t>
      </w:r>
      <w:r w:rsidR="00973962">
        <w:rPr>
          <w:color w:val="000000"/>
          <w:sz w:val="28"/>
          <w:szCs w:val="28"/>
        </w:rPr>
        <w:tab/>
      </w:r>
      <w:r w:rsidRPr="004A7A30">
        <w:rPr>
          <w:color w:val="000000"/>
          <w:sz w:val="28"/>
          <w:szCs w:val="28"/>
        </w:rPr>
        <w:t>d) Đơn vị sự nghiệp và các tổ chức khác theo quy định của pháp luật.</w:t>
      </w:r>
      <w:r w:rsidR="00973962">
        <w:rPr>
          <w:color w:val="000000"/>
          <w:sz w:val="28"/>
          <w:szCs w:val="28"/>
        </w:rPr>
        <w:tab/>
      </w:r>
      <w:r w:rsidR="00973962">
        <w:rPr>
          <w:color w:val="000000"/>
          <w:sz w:val="28"/>
          <w:szCs w:val="28"/>
        </w:rPr>
        <w:tab/>
      </w:r>
      <w:r w:rsidRPr="004A7A30">
        <w:rPr>
          <w:color w:val="000000"/>
          <w:sz w:val="28"/>
          <w:szCs w:val="28"/>
        </w:rPr>
        <w:t xml:space="preserve">3. Hộ kinh doanh phải đăng ký kinh doanh </w:t>
      </w:r>
      <w:proofErr w:type="gramStart"/>
      <w:r w:rsidRPr="004A7A30">
        <w:rPr>
          <w:color w:val="000000"/>
          <w:sz w:val="28"/>
          <w:szCs w:val="28"/>
        </w:rPr>
        <w:t>theo</w:t>
      </w:r>
      <w:proofErr w:type="gramEnd"/>
      <w:r w:rsidRPr="004A7A30">
        <w:rPr>
          <w:color w:val="000000"/>
          <w:sz w:val="28"/>
          <w:szCs w:val="28"/>
        </w:rPr>
        <w:t xml:space="preserve"> quy định của pháp luật, hộ gia đình, chủ tàu cá thực hiện hành vi vi phạm hành chính quy định tại Nghị định này bị xử phạt vi phạm như đối với cá nhân.</w:t>
      </w:r>
      <w:r w:rsidR="00973962">
        <w:rPr>
          <w:color w:val="000000"/>
          <w:sz w:val="28"/>
          <w:szCs w:val="28"/>
        </w:rPr>
        <w:tab/>
      </w:r>
    </w:p>
    <w:p w:rsidR="00973962" w:rsidRDefault="00973962" w:rsidP="00973962">
      <w:pPr>
        <w:pStyle w:val="NormalWeb"/>
        <w:shd w:val="clear" w:color="auto" w:fill="FFFFFF"/>
        <w:spacing w:before="0" w:beforeAutospacing="0" w:after="0" w:afterAutospacing="0" w:line="288" w:lineRule="auto"/>
        <w:ind w:firstLine="720"/>
        <w:jc w:val="both"/>
        <w:textAlignment w:val="baseline"/>
        <w:rPr>
          <w:color w:val="000000"/>
          <w:sz w:val="28"/>
          <w:szCs w:val="28"/>
        </w:rPr>
      </w:pPr>
      <w:proofErr w:type="gramStart"/>
      <w:r>
        <w:rPr>
          <w:color w:val="000000"/>
          <w:sz w:val="28"/>
          <w:szCs w:val="28"/>
        </w:rPr>
        <w:t>N</w:t>
      </w:r>
      <w:r w:rsidR="004A7A30" w:rsidRPr="004A7A30">
        <w:rPr>
          <w:color w:val="000000"/>
          <w:sz w:val="28"/>
          <w:szCs w:val="28"/>
        </w:rPr>
        <w:t>ghị định này có hiệu lực thi hành từ ngày 20 tháng 5 năm 2024</w:t>
      </w:r>
      <w:r>
        <w:rPr>
          <w:color w:val="000000"/>
          <w:sz w:val="28"/>
          <w:szCs w:val="28"/>
        </w:rPr>
        <w:t>.</w:t>
      </w:r>
      <w:proofErr w:type="gramEnd"/>
    </w:p>
    <w:p w:rsidR="00973962" w:rsidRDefault="004A7A30" w:rsidP="00973962">
      <w:pPr>
        <w:pStyle w:val="NormalWeb"/>
        <w:shd w:val="clear" w:color="auto" w:fill="FFFFFF"/>
        <w:spacing w:before="0" w:beforeAutospacing="0" w:after="0" w:afterAutospacing="0" w:line="288" w:lineRule="auto"/>
        <w:ind w:firstLine="720"/>
        <w:jc w:val="both"/>
        <w:textAlignment w:val="baseline"/>
        <w:rPr>
          <w:color w:val="000000"/>
          <w:sz w:val="28"/>
          <w:szCs w:val="28"/>
        </w:rPr>
      </w:pPr>
      <w:r w:rsidRPr="00973962">
        <w:rPr>
          <w:b/>
          <w:color w:val="000000"/>
          <w:sz w:val="28"/>
          <w:szCs w:val="28"/>
        </w:rPr>
        <w:t>10.</w:t>
      </w:r>
      <w:r w:rsidRPr="004A7A30">
        <w:rPr>
          <w:color w:val="000000"/>
          <w:sz w:val="28"/>
          <w:szCs w:val="28"/>
        </w:rPr>
        <w:t xml:space="preserve"> Ngày 26/3/2024, Thủ tướng Chính phủ ban hành Quyết định số 05/2024/QĐ-TTg quy định về cơ chế điều chỉnh mức giá bán lẻ điện bình quân. </w:t>
      </w:r>
      <w:proofErr w:type="gramStart"/>
      <w:r w:rsidRPr="004A7A30">
        <w:rPr>
          <w:color w:val="000000"/>
          <w:sz w:val="28"/>
          <w:szCs w:val="28"/>
        </w:rPr>
        <w:t>Theo đó, Quyết định này quy định về cơ chế điều chỉnh mức giá bán lẻ điện bình quân.</w:t>
      </w:r>
      <w:proofErr w:type="gramEnd"/>
      <w:r w:rsidRPr="004A7A30">
        <w:rPr>
          <w:color w:val="000000"/>
          <w:sz w:val="28"/>
          <w:szCs w:val="28"/>
        </w:rPr>
        <w:t xml:space="preserve"> Quyết định này áp dụng đối với tổ chức, cá nhân tham gia hoạt động điện lực và sử dụng điện</w:t>
      </w:r>
    </w:p>
    <w:p w:rsidR="004A7A30" w:rsidRPr="004A7A30" w:rsidRDefault="004A7A30" w:rsidP="00973962">
      <w:pPr>
        <w:pStyle w:val="NormalWeb"/>
        <w:shd w:val="clear" w:color="auto" w:fill="FFFFFF"/>
        <w:spacing w:before="0" w:beforeAutospacing="0" w:after="0" w:afterAutospacing="0" w:line="288" w:lineRule="auto"/>
        <w:ind w:firstLine="720"/>
        <w:jc w:val="both"/>
        <w:textAlignment w:val="baseline"/>
        <w:rPr>
          <w:color w:val="000000"/>
          <w:sz w:val="28"/>
          <w:szCs w:val="28"/>
        </w:rPr>
      </w:pPr>
      <w:r w:rsidRPr="004A7A30">
        <w:rPr>
          <w:color w:val="000000"/>
          <w:sz w:val="28"/>
          <w:szCs w:val="28"/>
        </w:rPr>
        <w:t>Quyết định này có hiệu lực thi hành từ ngày 15 tháng 5 năm 2024, thay thế Quyết định số 24/2017/QĐ-TTg ngày 30 tháng 6 năm 2017 của Thủ tướng Chính phủ quy định về cơ chế điều chỉnh mức giá bán lẻ điện bình quân.</w:t>
      </w:r>
    </w:p>
    <w:p w:rsidR="004E6B58" w:rsidRPr="004A7A30" w:rsidRDefault="00973962" w:rsidP="00973962">
      <w:pPr>
        <w:spacing w:after="0" w:line="288" w:lineRule="auto"/>
        <w:rPr>
          <w:rFonts w:ascii="Times New Roman" w:hAnsi="Times New Roman" w:cs="Times New Roman"/>
          <w:sz w:val="28"/>
          <w:szCs w:val="28"/>
        </w:rPr>
      </w:pPr>
    </w:p>
    <w:sectPr w:rsidR="004E6B58" w:rsidRPr="004A7A30" w:rsidSect="004E62FA">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30"/>
    <w:rsid w:val="00312592"/>
    <w:rsid w:val="004A7A30"/>
    <w:rsid w:val="004E62FA"/>
    <w:rsid w:val="006F525C"/>
    <w:rsid w:val="00730EE6"/>
    <w:rsid w:val="00973962"/>
    <w:rsid w:val="00974051"/>
    <w:rsid w:val="00A2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A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A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690">
      <w:bodyDiv w:val="1"/>
      <w:marLeft w:val="0"/>
      <w:marRight w:val="0"/>
      <w:marTop w:val="0"/>
      <w:marBottom w:val="0"/>
      <w:divBdr>
        <w:top w:val="none" w:sz="0" w:space="0" w:color="auto"/>
        <w:left w:val="none" w:sz="0" w:space="0" w:color="auto"/>
        <w:bottom w:val="none" w:sz="0" w:space="0" w:color="auto"/>
        <w:right w:val="none" w:sz="0" w:space="0" w:color="auto"/>
      </w:divBdr>
    </w:div>
    <w:div w:id="62140047">
      <w:bodyDiv w:val="1"/>
      <w:marLeft w:val="0"/>
      <w:marRight w:val="0"/>
      <w:marTop w:val="0"/>
      <w:marBottom w:val="0"/>
      <w:divBdr>
        <w:top w:val="none" w:sz="0" w:space="0" w:color="auto"/>
        <w:left w:val="none" w:sz="0" w:space="0" w:color="auto"/>
        <w:bottom w:val="none" w:sz="0" w:space="0" w:color="auto"/>
        <w:right w:val="none" w:sz="0" w:space="0" w:color="auto"/>
      </w:divBdr>
    </w:div>
    <w:div w:id="8348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2024-05-15T02:47:00Z</dcterms:created>
  <dcterms:modified xsi:type="dcterms:W3CDTF">2024-05-15T03:01:00Z</dcterms:modified>
</cp:coreProperties>
</file>